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4" w:rsidRDefault="00057BB4" w:rsidP="00057BB4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es-AR"/>
        </w:rPr>
        <w:t xml:space="preserve">           </w:t>
      </w:r>
      <w:r>
        <w:rPr>
          <w:rFonts w:ascii="Arial" w:hAnsi="Arial" w:cs="Arial"/>
          <w:noProof/>
          <w:color w:val="000000"/>
          <w:sz w:val="26"/>
          <w:szCs w:val="26"/>
          <w:lang w:eastAsia="es-AR"/>
        </w:rPr>
        <w:drawing>
          <wp:inline distT="0" distB="0" distL="0" distR="0" wp14:anchorId="1993967A" wp14:editId="4E008A21">
            <wp:extent cx="1583765" cy="158376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ficial-40-años-3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20" cy="158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FF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6"/>
          <w:szCs w:val="26"/>
          <w:lang w:eastAsia="es-AR"/>
        </w:rPr>
        <w:t xml:space="preserve">                                                          </w:t>
      </w:r>
    </w:p>
    <w:p w:rsidR="00057BB4" w:rsidRPr="00FB398B" w:rsidRDefault="00057BB4" w:rsidP="00057BB4">
      <w:pPr>
        <w:spacing w:line="360" w:lineRule="auto"/>
        <w:jc w:val="center"/>
        <w:rPr>
          <w:rFonts w:ascii="Arial" w:hAnsi="Arial" w:cs="Arial"/>
          <w:b/>
          <w:i/>
          <w:color w:val="000000"/>
          <w:szCs w:val="26"/>
        </w:rPr>
      </w:pPr>
      <w:r w:rsidRPr="00FB398B">
        <w:rPr>
          <w:rFonts w:ascii="Arial" w:hAnsi="Arial" w:cs="Arial"/>
          <w:b/>
          <w:i/>
          <w:color w:val="000000"/>
          <w:szCs w:val="26"/>
        </w:rPr>
        <w:t>Ciclo de Conciertos de Abono 2019 – Teatro del Libertador</w:t>
      </w:r>
    </w:p>
    <w:p w:rsidR="00057BB4" w:rsidRPr="00AC46AE" w:rsidRDefault="00057BB4" w:rsidP="00057BB4">
      <w:pPr>
        <w:spacing w:line="360" w:lineRule="auto"/>
        <w:rPr>
          <w:rFonts w:ascii="Arial" w:hAnsi="Arial" w:cs="Arial"/>
          <w:color w:val="000000"/>
          <w:sz w:val="22"/>
          <w:szCs w:val="26"/>
        </w:rPr>
      </w:pPr>
      <w:r>
        <w:rPr>
          <w:rFonts w:ascii="Helvetica" w:hAnsi="Helvetica" w:cs="Helvetica"/>
          <w:b/>
          <w:bCs/>
          <w:sz w:val="28"/>
          <w:lang w:val="es-ES"/>
        </w:rPr>
        <w:t xml:space="preserve">  </w:t>
      </w:r>
    </w:p>
    <w:p w:rsidR="00057BB4" w:rsidRPr="00057BB4" w:rsidRDefault="00AC46AE" w:rsidP="00057BB4">
      <w:pPr>
        <w:spacing w:line="360" w:lineRule="auto"/>
        <w:jc w:val="center"/>
        <w:rPr>
          <w:rFonts w:ascii="Helvetica" w:hAnsi="Helvetica" w:cs="Helvetica"/>
          <w:b/>
          <w:bCs/>
          <w:sz w:val="28"/>
          <w:szCs w:val="36"/>
          <w:lang w:val="es-ES"/>
        </w:rPr>
      </w:pPr>
      <w:r>
        <w:rPr>
          <w:rFonts w:ascii="Helvetica" w:hAnsi="Helvetica" w:cs="Helvetica"/>
          <w:b/>
          <w:bCs/>
          <w:sz w:val="40"/>
          <w:szCs w:val="36"/>
          <w:lang w:val="es-ES"/>
        </w:rPr>
        <w:t xml:space="preserve">      </w:t>
      </w:r>
      <w:r w:rsidR="00057BB4" w:rsidRPr="0027583C">
        <w:rPr>
          <w:rFonts w:ascii="Helvetica" w:hAnsi="Helvetica" w:cs="Helvetica"/>
          <w:b/>
          <w:bCs/>
          <w:sz w:val="40"/>
          <w:szCs w:val="36"/>
          <w:lang w:val="es-ES"/>
        </w:rPr>
        <w:t>“</w:t>
      </w:r>
      <w:r w:rsidR="00057BB4">
        <w:rPr>
          <w:rFonts w:ascii="Helvetica" w:hAnsi="Helvetica" w:cs="Helvetica"/>
          <w:b/>
          <w:bCs/>
          <w:sz w:val="40"/>
          <w:szCs w:val="36"/>
          <w:lang w:val="es-ES"/>
        </w:rPr>
        <w:t xml:space="preserve">Irina </w:t>
      </w:r>
      <w:proofErr w:type="spellStart"/>
      <w:r w:rsidR="00057BB4">
        <w:rPr>
          <w:rFonts w:ascii="Helvetica" w:hAnsi="Helvetica" w:cs="Helvetica"/>
          <w:b/>
          <w:bCs/>
          <w:sz w:val="40"/>
          <w:szCs w:val="36"/>
          <w:lang w:val="es-ES"/>
        </w:rPr>
        <w:t>Dichkovskaya</w:t>
      </w:r>
      <w:proofErr w:type="spellEnd"/>
      <w:r w:rsidR="00057BB4" w:rsidRPr="0027583C">
        <w:rPr>
          <w:rFonts w:ascii="Helvetica" w:hAnsi="Helvetica" w:cs="Helvetica"/>
          <w:b/>
          <w:bCs/>
          <w:sz w:val="40"/>
          <w:szCs w:val="36"/>
          <w:lang w:val="es-ES"/>
        </w:rPr>
        <w:t>”</w:t>
      </w:r>
      <w:r w:rsidRPr="00AC46AE">
        <w:rPr>
          <w:rFonts w:ascii="Helvetica" w:hAnsi="Helvetica" w:cs="Helvetica"/>
          <w:b/>
          <w:bCs/>
          <w:sz w:val="28"/>
          <w:szCs w:val="36"/>
          <w:lang w:val="es-ES"/>
        </w:rPr>
        <w:t>,</w:t>
      </w:r>
      <w:r>
        <w:rPr>
          <w:rFonts w:ascii="Helvetica" w:hAnsi="Helvetica" w:cs="Helvetica"/>
          <w:b/>
          <w:bCs/>
          <w:sz w:val="28"/>
          <w:szCs w:val="36"/>
          <w:lang w:val="es-ES"/>
        </w:rPr>
        <w:t xml:space="preserve"> </w:t>
      </w:r>
      <w:r w:rsidR="00057BB4">
        <w:rPr>
          <w:rFonts w:ascii="Helvetica" w:hAnsi="Helvetica" w:cs="Helvetica"/>
          <w:b/>
          <w:bCs/>
          <w:sz w:val="28"/>
          <w:szCs w:val="36"/>
          <w:lang w:val="es-ES"/>
        </w:rPr>
        <w:t>piano</w:t>
      </w:r>
    </w:p>
    <w:p w:rsidR="00057BB4" w:rsidRPr="00AC46AE" w:rsidRDefault="00057BB4" w:rsidP="00057BB4">
      <w:pPr>
        <w:jc w:val="center"/>
        <w:rPr>
          <w:rFonts w:ascii="Helvetica" w:hAnsi="Helvetica" w:cs="Helvetica"/>
          <w:b/>
          <w:bCs/>
          <w:sz w:val="32"/>
          <w:szCs w:val="36"/>
          <w:lang w:val="es-ES"/>
        </w:rPr>
      </w:pP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>Orquesta Sinfónica de Córdoba</w:t>
      </w:r>
    </w:p>
    <w:p w:rsidR="00057BB4" w:rsidRPr="00AC46AE" w:rsidRDefault="00057BB4" w:rsidP="00057BB4">
      <w:pPr>
        <w:jc w:val="center"/>
        <w:rPr>
          <w:rFonts w:ascii="Helvetica" w:hAnsi="Helvetica" w:cs="Helvetica"/>
          <w:b/>
          <w:bCs/>
          <w:sz w:val="28"/>
          <w:szCs w:val="36"/>
          <w:lang w:val="es-ES"/>
        </w:rPr>
      </w:pPr>
      <w:r w:rsidRPr="00AC46AE">
        <w:rPr>
          <w:rFonts w:ascii="Helvetica" w:hAnsi="Helvetica" w:cs="Helvetica"/>
          <w:b/>
          <w:bCs/>
          <w:sz w:val="28"/>
          <w:szCs w:val="36"/>
          <w:lang w:val="es-ES"/>
        </w:rPr>
        <w:t>Director</w:t>
      </w:r>
      <w:r w:rsidR="00AC46AE">
        <w:rPr>
          <w:rFonts w:ascii="Helvetica" w:hAnsi="Helvetica" w:cs="Helvetica"/>
          <w:b/>
          <w:bCs/>
          <w:sz w:val="28"/>
          <w:szCs w:val="36"/>
          <w:lang w:val="es-ES"/>
        </w:rPr>
        <w:t>:</w:t>
      </w:r>
      <w:r w:rsidRPr="00AC46AE">
        <w:rPr>
          <w:rFonts w:ascii="Helvetica" w:hAnsi="Helvetica" w:cs="Helvetica"/>
          <w:b/>
          <w:bCs/>
          <w:sz w:val="28"/>
          <w:szCs w:val="36"/>
          <w:lang w:val="es-ES"/>
        </w:rPr>
        <w:t xml:space="preserve"> Guillermo Becerra</w:t>
      </w:r>
      <w:r w:rsidRPr="00AC46AE">
        <w:rPr>
          <w:rFonts w:ascii="Helvetica" w:hAnsi="Helvetica" w:cs="Helvetica"/>
          <w:b/>
          <w:bCs/>
          <w:sz w:val="28"/>
          <w:szCs w:val="36"/>
          <w:lang w:val="es-ES"/>
        </w:rPr>
        <w:t xml:space="preserve"> </w:t>
      </w:r>
    </w:p>
    <w:p w:rsidR="00057BB4" w:rsidRPr="00057BB4" w:rsidRDefault="00057BB4" w:rsidP="00057BB4">
      <w:pPr>
        <w:jc w:val="center"/>
        <w:rPr>
          <w:rFonts w:ascii="Helvetica" w:hAnsi="Helvetica" w:cs="Helvetica"/>
          <w:b/>
          <w:bCs/>
          <w:sz w:val="14"/>
          <w:szCs w:val="36"/>
          <w:lang w:val="es-ES"/>
        </w:rPr>
      </w:pPr>
    </w:p>
    <w:p w:rsidR="00057BB4" w:rsidRDefault="00057BB4" w:rsidP="00057BB4">
      <w:pPr>
        <w:jc w:val="center"/>
        <w:rPr>
          <w:rFonts w:ascii="Helvetica" w:hAnsi="Helvetica" w:cs="Helvetica"/>
          <w:b/>
          <w:bCs/>
          <w:sz w:val="32"/>
          <w:szCs w:val="36"/>
          <w:lang w:val="es-ES"/>
        </w:rPr>
      </w:pP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>Viernes 1</w:t>
      </w: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>5</w:t>
      </w: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 xml:space="preserve"> de </w:t>
      </w: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>Noviembr</w:t>
      </w:r>
      <w:r w:rsidRPr="00AC46AE">
        <w:rPr>
          <w:rFonts w:ascii="Helvetica" w:hAnsi="Helvetica" w:cs="Helvetica"/>
          <w:b/>
          <w:bCs/>
          <w:sz w:val="32"/>
          <w:szCs w:val="36"/>
          <w:lang w:val="es-ES"/>
        </w:rPr>
        <w:t>e - 21h.</w:t>
      </w:r>
    </w:p>
    <w:p w:rsidR="00AC46AE" w:rsidRPr="00AC46AE" w:rsidRDefault="00AC46AE" w:rsidP="00057BB4">
      <w:pPr>
        <w:jc w:val="center"/>
        <w:rPr>
          <w:rFonts w:ascii="Helvetica" w:hAnsi="Helvetica" w:cs="Helvetica"/>
          <w:b/>
          <w:bCs/>
          <w:sz w:val="16"/>
          <w:szCs w:val="36"/>
          <w:lang w:val="es-ES"/>
        </w:rPr>
      </w:pPr>
    </w:p>
    <w:p w:rsidR="00057BB4" w:rsidRPr="00D77122" w:rsidRDefault="00057BB4" w:rsidP="00057BB4">
      <w:pPr>
        <w:jc w:val="center"/>
        <w:rPr>
          <w:rFonts w:ascii="Arial" w:hAnsi="Arial" w:cs="Arial"/>
          <w:color w:val="000000"/>
          <w:sz w:val="12"/>
          <w:szCs w:val="26"/>
        </w:rPr>
      </w:pPr>
    </w:p>
    <w:p w:rsidR="00057BB4" w:rsidRDefault="00057BB4" w:rsidP="00057BB4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es-AR"/>
        </w:rPr>
        <w:drawing>
          <wp:inline distT="0" distB="0" distL="0" distR="0" wp14:anchorId="44D0A7A1" wp14:editId="13BBB298">
            <wp:extent cx="2201334" cy="3302295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raSostmann24689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802" cy="330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B4" w:rsidRPr="00697F38" w:rsidRDefault="00057BB4" w:rsidP="00057BB4">
      <w:pPr>
        <w:jc w:val="both"/>
        <w:rPr>
          <w:rFonts w:ascii="Arial" w:hAnsi="Arial" w:cs="Arial"/>
          <w:color w:val="000000"/>
          <w:sz w:val="16"/>
          <w:szCs w:val="26"/>
        </w:rPr>
      </w:pPr>
    </w:p>
    <w:p w:rsidR="00057BB4" w:rsidRDefault="00DA27B8" w:rsidP="00057BB4">
      <w:pPr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La Fundación Pro Arte Córdoba </w:t>
      </w:r>
      <w:r w:rsidR="00057BB4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cierra su </w:t>
      </w:r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>Ciclo de Conciertos de Abono 2019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>, 40° Aniversario,  con la pianista rusa IRINA DICHKOVSKAYA junto a l</w:t>
      </w:r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a Orquesta Sinfónica de Córdoba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interpretando </w:t>
      </w:r>
      <w:r w:rsidR="00AC46AE" w:rsidRPr="00DA27B8">
        <w:rPr>
          <w:rFonts w:asciiTheme="minorHAnsi" w:hAnsiTheme="minorHAnsi" w:cstheme="minorHAnsi"/>
          <w:b/>
          <w:i/>
          <w:color w:val="000000"/>
          <w:sz w:val="26"/>
          <w:szCs w:val="26"/>
        </w:rPr>
        <w:t xml:space="preserve">de </w:t>
      </w:r>
      <w:proofErr w:type="spellStart"/>
      <w:r w:rsidR="00AC46AE" w:rsidRPr="00DA27B8">
        <w:rPr>
          <w:rFonts w:asciiTheme="minorHAnsi" w:hAnsiTheme="minorHAnsi" w:cstheme="minorHAnsi"/>
          <w:b/>
          <w:i/>
          <w:color w:val="000000"/>
          <w:sz w:val="26"/>
          <w:szCs w:val="26"/>
        </w:rPr>
        <w:t>Rachmaninoff</w:t>
      </w:r>
      <w:proofErr w:type="spellEnd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, 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el </w:t>
      </w:r>
      <w:r w:rsidRPr="00DA27B8">
        <w:rPr>
          <w:rFonts w:asciiTheme="minorHAnsi" w:hAnsiTheme="minorHAnsi" w:cstheme="minorHAnsi"/>
          <w:b/>
          <w:i/>
          <w:color w:val="000000"/>
          <w:sz w:val="26"/>
          <w:szCs w:val="26"/>
        </w:rPr>
        <w:t>concierto N°2 para piano y orquesta</w:t>
      </w:r>
      <w:r w:rsidR="00AC46AE">
        <w:rPr>
          <w:rFonts w:asciiTheme="minorHAnsi" w:hAnsiTheme="minorHAnsi" w:cstheme="minorHAnsi"/>
          <w:b/>
          <w:i/>
          <w:color w:val="000000"/>
          <w:sz w:val="26"/>
          <w:szCs w:val="26"/>
        </w:rPr>
        <w:t xml:space="preserve"> en do menor, op.18. Y</w:t>
      </w:r>
      <w:r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completando el magnífico programa dos obras también de compositores Rusos: </w:t>
      </w:r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de </w:t>
      </w:r>
      <w:proofErr w:type="spellStart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Alexandr</w:t>
      </w:r>
      <w:proofErr w:type="spellEnd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Borodin, En las estepas del Asia central y de  </w:t>
      </w:r>
      <w:proofErr w:type="spellStart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Piotr</w:t>
      </w:r>
      <w:proofErr w:type="spellEnd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I. </w:t>
      </w:r>
      <w:proofErr w:type="spellStart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Tchaikovsky</w:t>
      </w:r>
      <w:proofErr w:type="spellEnd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, Sinfonía N°4 en fa menor, </w:t>
      </w:r>
      <w:proofErr w:type="spellStart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op</w:t>
      </w:r>
      <w:proofErr w:type="spellEnd"/>
      <w:r w:rsidR="00AC46AE">
        <w:rPr>
          <w:rFonts w:asciiTheme="minorHAnsi" w:hAnsiTheme="minorHAnsi" w:cstheme="minorHAnsi"/>
          <w:b/>
          <w:color w:val="000000"/>
          <w:sz w:val="26"/>
          <w:szCs w:val="26"/>
        </w:rPr>
        <w:t>. 36.</w:t>
      </w:r>
    </w:p>
    <w:p w:rsidR="00AC46AE" w:rsidRPr="00AC46AE" w:rsidRDefault="00AC46AE" w:rsidP="00057BB4">
      <w:pPr>
        <w:jc w:val="both"/>
        <w:rPr>
          <w:rFonts w:asciiTheme="minorHAnsi" w:hAnsiTheme="minorHAnsi" w:cstheme="minorHAnsi"/>
          <w:b/>
          <w:color w:val="000000"/>
          <w:sz w:val="10"/>
          <w:szCs w:val="26"/>
        </w:rPr>
      </w:pPr>
    </w:p>
    <w:p w:rsidR="00057BB4" w:rsidRPr="00AC46AE" w:rsidRDefault="00AC46AE" w:rsidP="00057BB4">
      <w:pPr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Un concierto imperdible para finalizar un ciclo de conciertos de abono memorable.</w:t>
      </w:r>
    </w:p>
    <w:p w:rsidR="00057BB4" w:rsidRPr="008061F3" w:rsidRDefault="00057BB4" w:rsidP="00057BB4">
      <w:pPr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>El viernes 1</w:t>
      </w:r>
      <w:r w:rsidR="00DA27B8">
        <w:rPr>
          <w:rFonts w:asciiTheme="minorHAnsi" w:hAnsiTheme="minorHAnsi" w:cstheme="minorHAnsi"/>
          <w:b/>
          <w:color w:val="000000"/>
          <w:sz w:val="26"/>
          <w:szCs w:val="26"/>
        </w:rPr>
        <w:t>5</w:t>
      </w:r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de </w:t>
      </w:r>
      <w:r w:rsidR="00DA27B8">
        <w:rPr>
          <w:rFonts w:asciiTheme="minorHAnsi" w:hAnsiTheme="minorHAnsi" w:cstheme="minorHAnsi"/>
          <w:b/>
          <w:color w:val="000000"/>
          <w:sz w:val="26"/>
          <w:szCs w:val="26"/>
        </w:rPr>
        <w:t>Noviem</w:t>
      </w:r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bre a las 21h.  </w:t>
      </w:r>
      <w:proofErr w:type="gramStart"/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>en</w:t>
      </w:r>
      <w:proofErr w:type="gramEnd"/>
      <w:r w:rsidRPr="008061F3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el restaurado Teatro del Libertador.  </w:t>
      </w:r>
    </w:p>
    <w:p w:rsidR="00057BB4" w:rsidRPr="003B57DE" w:rsidRDefault="00057BB4" w:rsidP="00057BB4">
      <w:pPr>
        <w:pStyle w:val="Normal1"/>
        <w:rPr>
          <w:rFonts w:asciiTheme="minorHAnsi" w:hAnsiTheme="minorHAnsi" w:cs="Times New Roman"/>
          <w:sz w:val="12"/>
          <w:szCs w:val="24"/>
          <w:lang w:val="es-AR"/>
        </w:rPr>
      </w:pPr>
    </w:p>
    <w:p w:rsidR="00057BB4" w:rsidRPr="003B57DE" w:rsidRDefault="00057BB4" w:rsidP="00057BB4">
      <w:pPr>
        <w:shd w:val="clear" w:color="auto" w:fill="FFFFFF"/>
        <w:jc w:val="both"/>
        <w:rPr>
          <w:rFonts w:asciiTheme="minorHAnsi" w:hAnsiTheme="minorHAnsi" w:cs="Arial"/>
          <w:b/>
          <w:color w:val="222222"/>
          <w:sz w:val="26"/>
          <w:szCs w:val="26"/>
        </w:rPr>
      </w:pPr>
      <w:r w:rsidRPr="003B57DE">
        <w:rPr>
          <w:rFonts w:asciiTheme="minorHAnsi" w:hAnsiTheme="minorHAnsi" w:cstheme="minorHAnsi"/>
          <w:b/>
          <w:bCs/>
          <w:sz w:val="26"/>
          <w:szCs w:val="26"/>
        </w:rPr>
        <w:t xml:space="preserve">Las entradas se encuentran a la venta en la boletería del Teatro y en </w:t>
      </w:r>
      <w:proofErr w:type="spellStart"/>
      <w:r w:rsidRPr="003B57DE">
        <w:rPr>
          <w:rFonts w:asciiTheme="minorHAnsi" w:hAnsiTheme="minorHAnsi" w:cstheme="minorHAnsi"/>
          <w:b/>
          <w:bCs/>
          <w:sz w:val="26"/>
          <w:szCs w:val="26"/>
        </w:rPr>
        <w:t>Autoentrada</w:t>
      </w:r>
      <w:proofErr w:type="spellEnd"/>
      <w:r w:rsidRPr="003B57DE">
        <w:rPr>
          <w:rFonts w:asciiTheme="minorHAnsi" w:hAnsiTheme="minorHAnsi" w:cstheme="minorHAnsi"/>
          <w:b/>
          <w:bCs/>
          <w:sz w:val="26"/>
          <w:szCs w:val="26"/>
        </w:rPr>
        <w:t xml:space="preserve"> y sus valores son:</w:t>
      </w:r>
      <w:r w:rsidRPr="003B57DE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 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Platea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6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00, Cazuela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4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00, Tertulia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3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00, Paraíso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2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00, Palco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2.4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 y Silla a palco $</w:t>
      </w:r>
      <w:r w:rsidR="00DA27B8" w:rsidRPr="003B57DE">
        <w:rPr>
          <w:rFonts w:asciiTheme="minorHAnsi" w:hAnsiTheme="minorHAnsi" w:cs="Arial"/>
          <w:b/>
          <w:color w:val="222222"/>
          <w:sz w:val="26"/>
          <w:szCs w:val="26"/>
        </w:rPr>
        <w:t>6</w:t>
      </w: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00</w:t>
      </w:r>
    </w:p>
    <w:p w:rsidR="003B57DE" w:rsidRPr="003B57DE" w:rsidRDefault="003B57DE" w:rsidP="00057BB4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222222"/>
          <w:sz w:val="14"/>
          <w:szCs w:val="26"/>
        </w:rPr>
      </w:pPr>
    </w:p>
    <w:p w:rsidR="00057BB4" w:rsidRPr="003B57DE" w:rsidRDefault="00057BB4" w:rsidP="00057BB4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color w:val="222222"/>
          <w:sz w:val="26"/>
          <w:szCs w:val="26"/>
        </w:rPr>
      </w:pPr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 xml:space="preserve">Con Tarjetas </w:t>
      </w:r>
      <w:proofErr w:type="spellStart"/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>Bancor</w:t>
      </w:r>
      <w:proofErr w:type="spellEnd"/>
      <w:r w:rsidRPr="003B57DE">
        <w:rPr>
          <w:rFonts w:asciiTheme="minorHAnsi" w:hAnsiTheme="minorHAnsi" w:cs="Arial"/>
          <w:b/>
          <w:color w:val="222222"/>
          <w:sz w:val="26"/>
          <w:szCs w:val="26"/>
        </w:rPr>
        <w:t xml:space="preserve"> hasta 3 cuotas sin interés. Tarjetas Naranja  Plan Z  y Visa 1 solo pago.</w:t>
      </w:r>
    </w:p>
    <w:p w:rsidR="00057BB4" w:rsidRDefault="00057BB4" w:rsidP="00057BB4">
      <w:pPr>
        <w:shd w:val="clear" w:color="auto" w:fill="FFFFFF"/>
        <w:rPr>
          <w:rFonts w:asciiTheme="minorHAnsi" w:hAnsiTheme="minorHAnsi" w:cs="Arial"/>
          <w:b/>
          <w:color w:val="222222"/>
        </w:rPr>
      </w:pPr>
    </w:p>
    <w:p w:rsidR="00057BB4" w:rsidRDefault="00057BB4" w:rsidP="00057BB4">
      <w:pPr>
        <w:spacing w:line="256" w:lineRule="auto"/>
        <w:rPr>
          <w:rFonts w:ascii="Calibri" w:hAnsi="Calibri"/>
          <w:b/>
          <w:bCs/>
          <w:sz w:val="22"/>
          <w:szCs w:val="22"/>
          <w:u w:val="single"/>
          <w:lang w:val="es-ES" w:eastAsia="es-AR"/>
        </w:rPr>
      </w:pPr>
    </w:p>
    <w:p w:rsidR="003B57DE" w:rsidRDefault="003B57DE" w:rsidP="00AC46AE">
      <w:pPr>
        <w:spacing w:after="200" w:line="276" w:lineRule="auto"/>
        <w:rPr>
          <w:szCs w:val="22"/>
          <w:lang w:eastAsia="es-AR"/>
        </w:rPr>
      </w:pPr>
    </w:p>
    <w:p w:rsidR="003B57DE" w:rsidRDefault="00AC46AE" w:rsidP="00AC46AE">
      <w:pPr>
        <w:spacing w:after="200" w:line="276" w:lineRule="auto"/>
        <w:rPr>
          <w:szCs w:val="22"/>
          <w:lang w:eastAsia="es-AR"/>
        </w:rPr>
      </w:pPr>
      <w:r>
        <w:rPr>
          <w:szCs w:val="22"/>
          <w:lang w:eastAsia="es-AR"/>
        </w:rPr>
        <w:t> </w:t>
      </w:r>
    </w:p>
    <w:p w:rsidR="00AC46AE" w:rsidRPr="00AC46AE" w:rsidRDefault="003B57DE" w:rsidP="00AC46AE">
      <w:pPr>
        <w:spacing w:after="200" w:line="276" w:lineRule="auto"/>
        <w:rPr>
          <w:rFonts w:asciiTheme="minorHAnsi" w:hAnsiTheme="minorHAnsi"/>
          <w:szCs w:val="22"/>
          <w:lang w:eastAsia="es-AR"/>
        </w:rPr>
      </w:pPr>
      <w:bookmarkStart w:id="0" w:name="_GoBack"/>
      <w:bookmarkEnd w:id="0"/>
      <w:r>
        <w:rPr>
          <w:rFonts w:asciiTheme="minorHAnsi" w:hAnsiTheme="minorHAnsi"/>
          <w:b/>
          <w:szCs w:val="22"/>
          <w:lang w:eastAsia="es-AR"/>
        </w:rPr>
        <w:t>IRINA DICHKOVSKAY</w:t>
      </w:r>
      <w:r w:rsidR="00AC46AE" w:rsidRPr="00AC46AE">
        <w:rPr>
          <w:rFonts w:asciiTheme="minorHAnsi" w:hAnsiTheme="minorHAnsi"/>
          <w:b/>
          <w:szCs w:val="22"/>
          <w:lang w:eastAsia="es-AR"/>
        </w:rPr>
        <w:t>A</w:t>
      </w:r>
      <w:r w:rsidR="00AC46AE" w:rsidRPr="003B57DE">
        <w:rPr>
          <w:rFonts w:asciiTheme="minorHAnsi" w:hAnsiTheme="minorHAnsi"/>
          <w:szCs w:val="22"/>
          <w:lang w:eastAsia="es-AR"/>
        </w:rPr>
        <w:t xml:space="preserve">, </w:t>
      </w:r>
      <w:r w:rsidR="00AC46AE" w:rsidRPr="00AC46AE">
        <w:rPr>
          <w:rFonts w:asciiTheme="minorHAnsi" w:hAnsiTheme="minorHAnsi"/>
          <w:szCs w:val="22"/>
          <w:lang w:eastAsia="es-AR"/>
        </w:rPr>
        <w:t>pianista rusa</w:t>
      </w:r>
      <w:r w:rsidR="00AC46AE" w:rsidRPr="00AC46AE">
        <w:rPr>
          <w:rFonts w:asciiTheme="minorHAnsi" w:hAnsiTheme="minorHAnsi"/>
          <w:szCs w:val="22"/>
          <w:lang w:eastAsia="es-AR"/>
        </w:rPr>
        <w:br/>
      </w:r>
      <w:r w:rsidR="00AC46AE" w:rsidRPr="00AC46AE">
        <w:rPr>
          <w:rFonts w:asciiTheme="minorHAnsi" w:hAnsiTheme="minorHAnsi"/>
          <w:szCs w:val="22"/>
          <w:lang w:eastAsia="es-AR"/>
        </w:rPr>
        <w:br/>
        <w:t xml:space="preserve">Desde los doce años de edad brinda presentaciones como solista en diferentes países como Alemania, Polonia, Inglaterra, Lituania, Francia, Italia y EEUU. Dentro de la lista de las salas donde ha tocado esta Walt Disney Hall en Los </w:t>
      </w:r>
      <w:proofErr w:type="spellStart"/>
      <w:r w:rsidR="00AC46AE" w:rsidRPr="00AC46AE">
        <w:rPr>
          <w:rFonts w:asciiTheme="minorHAnsi" w:hAnsiTheme="minorHAnsi"/>
          <w:szCs w:val="22"/>
          <w:lang w:eastAsia="es-AR"/>
        </w:rPr>
        <w:t>Angeles</w:t>
      </w:r>
      <w:proofErr w:type="spellEnd"/>
      <w:r w:rsidR="00AC46AE" w:rsidRPr="00AC46AE">
        <w:rPr>
          <w:rFonts w:asciiTheme="minorHAnsi" w:hAnsiTheme="minorHAnsi"/>
          <w:szCs w:val="22"/>
          <w:lang w:eastAsia="es-AR"/>
        </w:rPr>
        <w:t xml:space="preserve">, las mejores salas de Rusia como la de la Filarmónica de San Petersburgo, </w:t>
      </w:r>
      <w:proofErr w:type="spellStart"/>
      <w:r w:rsidR="00AC46AE" w:rsidRPr="00AC46AE">
        <w:rPr>
          <w:rFonts w:asciiTheme="minorHAnsi" w:hAnsiTheme="minorHAnsi"/>
          <w:szCs w:val="22"/>
          <w:lang w:eastAsia="es-AR"/>
        </w:rPr>
        <w:t>Capella</w:t>
      </w:r>
      <w:proofErr w:type="spellEnd"/>
      <w:r w:rsidR="00AC46AE" w:rsidRPr="00AC46AE">
        <w:rPr>
          <w:rFonts w:asciiTheme="minorHAnsi" w:hAnsiTheme="minorHAnsi"/>
          <w:szCs w:val="22"/>
          <w:lang w:eastAsia="es-AR"/>
        </w:rPr>
        <w:t xml:space="preserve"> de San Petersburgo, Conservatorio de San Petersburgo y la sala del Conservatorio de Moscú, y  las mejores salas de Argentina como el Auditorio de la Comunidad </w:t>
      </w:r>
      <w:proofErr w:type="spellStart"/>
      <w:r w:rsidR="00AC46AE" w:rsidRPr="00AC46AE">
        <w:rPr>
          <w:rFonts w:asciiTheme="minorHAnsi" w:hAnsiTheme="minorHAnsi"/>
          <w:szCs w:val="22"/>
          <w:lang w:eastAsia="es-AR"/>
        </w:rPr>
        <w:t>Amijai</w:t>
      </w:r>
      <w:proofErr w:type="spellEnd"/>
      <w:r w:rsidR="00AC46AE" w:rsidRPr="00AC46AE">
        <w:rPr>
          <w:rFonts w:asciiTheme="minorHAnsi" w:hAnsiTheme="minorHAnsi"/>
          <w:szCs w:val="22"/>
          <w:lang w:eastAsia="es-AR"/>
        </w:rPr>
        <w:t xml:space="preserve">, la Usina del Arte, el Teatro Gran </w:t>
      </w:r>
      <w:proofErr w:type="spellStart"/>
      <w:r w:rsidR="00AC46AE" w:rsidRPr="00AC46AE">
        <w:rPr>
          <w:rFonts w:asciiTheme="minorHAnsi" w:hAnsiTheme="minorHAnsi"/>
          <w:szCs w:val="22"/>
          <w:lang w:eastAsia="es-AR"/>
        </w:rPr>
        <w:t>Rex</w:t>
      </w:r>
      <w:proofErr w:type="spellEnd"/>
      <w:r w:rsidR="00AC46AE" w:rsidRPr="00AC46AE">
        <w:rPr>
          <w:rFonts w:asciiTheme="minorHAnsi" w:hAnsiTheme="minorHAnsi"/>
          <w:szCs w:val="22"/>
          <w:lang w:eastAsia="es-AR"/>
        </w:rPr>
        <w:t>, el Auditorio Juan Victoria en San Juan, el Teatro Mitre en San Salvador de Jujuy.</w:t>
      </w:r>
    </w:p>
    <w:p w:rsidR="00AC46AE" w:rsidRPr="00AC46AE" w:rsidRDefault="00AC46AE" w:rsidP="00AC46AE">
      <w:pPr>
        <w:spacing w:after="200" w:line="276" w:lineRule="auto"/>
        <w:rPr>
          <w:rFonts w:asciiTheme="minorHAnsi" w:hAnsiTheme="minorHAnsi"/>
          <w:szCs w:val="22"/>
          <w:lang w:eastAsia="es-AR"/>
        </w:rPr>
      </w:pPr>
      <w:r w:rsidRPr="00AC46AE">
        <w:rPr>
          <w:rFonts w:asciiTheme="minorHAnsi" w:hAnsiTheme="minorHAnsi"/>
          <w:szCs w:val="22"/>
          <w:lang w:eastAsia="es-AR"/>
        </w:rPr>
        <w:t xml:space="preserve">Recientemente ha tenido recitales y clases magistrales organizados por diferentes organizaciones como la Fundación ALAPP , la Comunidad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Amijai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, Fundación Pro Arte Córdoba, el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Mozarteum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Argentino en Buenos Aires y en sus filiales de Salta, San Juan, Tandil, Olavarría, Jujuy,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Neuquen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en colaboración con Asociación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Armonicus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y para el Gobierno de la Ciudad de Buenos Aires. Destacándose el inicio de la temporada 2012 del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Mozarteum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Argentino Filial Salta, el inicio del Ciclo de Música de Cámara en la Usina del Arte y Música para orquesta y grandes obras corales en la Usina del Arte en Buenos Aires  y con recitales en XXXII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Rachmaninov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Internacional Festival en Rusia y VI Festival Nacional e Internacional de Pianistas, Mar del Plata. Participaba como  presidente de jurado en 2do Concurso Nacional de Piano “Festival de Pianistas” en Mar del Plata 2014 y 3er Concurso Nacional de Piano “Festival de Pianistas” en Buenos Aires 2015.</w:t>
      </w:r>
    </w:p>
    <w:p w:rsidR="00AC46AE" w:rsidRPr="00AC46AE" w:rsidRDefault="00AC46AE" w:rsidP="003B57DE">
      <w:pPr>
        <w:spacing w:after="200" w:line="276" w:lineRule="auto"/>
        <w:rPr>
          <w:rFonts w:asciiTheme="minorHAnsi" w:hAnsiTheme="minorHAnsi"/>
          <w:szCs w:val="22"/>
          <w:lang w:eastAsia="es-AR"/>
        </w:rPr>
      </w:pPr>
      <w:r w:rsidRPr="00AC46AE">
        <w:rPr>
          <w:rFonts w:asciiTheme="minorHAnsi" w:hAnsiTheme="minorHAnsi"/>
          <w:szCs w:val="22"/>
          <w:lang w:eastAsia="es-AR"/>
        </w:rPr>
        <w:t xml:space="preserve">Tuvo oportunidad de tocar con diferentes orquestas como Orquesta del Conservatorio de San Petersburgo, Orquesta Sinfónica Académica de San Petersburgo, Orquesta Académica de Buenos Aires, etc. Junto con los maestros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Aleksander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Titov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,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Valentin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Nesterov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,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Ilya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Derbilov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, Carlos Calleja. Además Ha participado en diferentes programas de radio y televisión de Rusia y Argentina. </w:t>
      </w:r>
    </w:p>
    <w:p w:rsidR="00AC46AE" w:rsidRPr="00AC46AE" w:rsidRDefault="00AC46AE" w:rsidP="00AC46AE">
      <w:pPr>
        <w:spacing w:after="200" w:line="276" w:lineRule="auto"/>
        <w:rPr>
          <w:rFonts w:asciiTheme="minorHAnsi" w:hAnsiTheme="minorHAnsi"/>
          <w:szCs w:val="22"/>
          <w:lang w:eastAsia="es-AR"/>
        </w:rPr>
      </w:pPr>
      <w:r w:rsidRPr="00AC46AE">
        <w:rPr>
          <w:rFonts w:asciiTheme="minorHAnsi" w:hAnsiTheme="minorHAnsi"/>
          <w:szCs w:val="22"/>
          <w:lang w:eastAsia="es-AR"/>
        </w:rPr>
        <w:t xml:space="preserve">Es graduada del Liceo Especial de Música y del Conservatorio Estatal de San Petersburgo donde realizó también curso de postgrado. </w:t>
      </w:r>
    </w:p>
    <w:p w:rsidR="003B57DE" w:rsidRPr="003B57DE" w:rsidRDefault="00AC46AE" w:rsidP="003B57DE">
      <w:pPr>
        <w:spacing w:after="200"/>
        <w:rPr>
          <w:rFonts w:asciiTheme="minorHAnsi" w:hAnsiTheme="minorHAnsi"/>
          <w:szCs w:val="22"/>
          <w:lang w:eastAsia="es-AR"/>
        </w:rPr>
      </w:pPr>
      <w:r w:rsidRPr="00AC46AE">
        <w:rPr>
          <w:rFonts w:asciiTheme="minorHAnsi" w:hAnsiTheme="minorHAnsi"/>
          <w:szCs w:val="22"/>
          <w:lang w:eastAsia="es-AR"/>
        </w:rPr>
        <w:t>Ha sido laureada en numerosos competiciones internacionales de piano, entre las cuales se encuentran:</w:t>
      </w:r>
      <w:r w:rsidR="003B57DE" w:rsidRPr="003B57DE">
        <w:rPr>
          <w:rFonts w:asciiTheme="minorHAnsi" w:hAnsiTheme="minorHAnsi"/>
          <w:szCs w:val="22"/>
          <w:lang w:eastAsia="es-AR"/>
        </w:rPr>
        <w:t xml:space="preserve"> </w:t>
      </w:r>
    </w:p>
    <w:p w:rsidR="00AC46AE" w:rsidRPr="003B57DE" w:rsidRDefault="00AC46AE" w:rsidP="003B57DE">
      <w:pPr>
        <w:spacing w:after="200"/>
        <w:rPr>
          <w:rFonts w:asciiTheme="minorHAnsi" w:hAnsiTheme="minorHAnsi"/>
          <w:szCs w:val="22"/>
          <w:lang w:eastAsia="es-AR"/>
        </w:rPr>
      </w:pPr>
      <w:r w:rsidRPr="00AC46AE">
        <w:rPr>
          <w:rFonts w:asciiTheme="minorHAnsi" w:hAnsiTheme="minorHAnsi"/>
          <w:szCs w:val="22"/>
          <w:lang w:eastAsia="es-AR"/>
        </w:rPr>
        <w:t xml:space="preserve">Festival Internacional de piano para jóvenes pianistas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Rachmaninoff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>, (Rusia 1993, Primer puesto).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Concurso internacional para jóvenes pianistas de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Ettlingen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(Alemania, 1996 -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Förderprize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)</w:t>
      </w:r>
      <w:r w:rsidRPr="00AC46AE">
        <w:rPr>
          <w:rFonts w:asciiTheme="minorHAnsi" w:hAnsiTheme="minorHAnsi"/>
          <w:szCs w:val="22"/>
          <w:lang w:eastAsia="es-AR"/>
        </w:rPr>
        <w:br/>
        <w:t> Concurso de piano de Londres ( Reino Unido, 1998 – Segundo puesto)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Concurso internacional de piano “Música sin límites” (Lituania, 2002 – Gran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Prix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>)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Concurso internacional de pianistas y conjuntos de fortepianos dedicado a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Tchaikovsky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en Moscú, (Rusia, 2005 – Primer puesto)</w:t>
      </w:r>
      <w:r w:rsidRPr="00AC46AE">
        <w:rPr>
          <w:rFonts w:asciiTheme="minorHAnsi" w:hAnsiTheme="minorHAnsi"/>
          <w:szCs w:val="22"/>
          <w:lang w:eastAsia="es-AR"/>
        </w:rPr>
        <w:br/>
        <w:t> Ganadora del concurso de subvenciones para estudiantes posgraduados y especialistas jóvenes “Musas de San Petersburgo” (Rusia, 2002)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Ganadora del concurso de la fundación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Glazunov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(Alemania, 2003).</w:t>
      </w:r>
      <w:r w:rsidRPr="00AC46AE">
        <w:rPr>
          <w:rFonts w:asciiTheme="minorHAnsi" w:hAnsiTheme="minorHAnsi"/>
          <w:szCs w:val="22"/>
          <w:lang w:eastAsia="es-AR"/>
        </w:rPr>
        <w:br/>
        <w:t> Otorgamiento de beca del concurso de Fundación Publica “Arte ruso de interpretación” (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Moscu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>, 2003)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12º Concurso internacional de piano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d´Ile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de France de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Maisons-Laffitte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 xml:space="preserve"> (Francia, 2010 – Segundo puesto)</w:t>
      </w:r>
      <w:r w:rsidRPr="00AC46AE">
        <w:rPr>
          <w:rFonts w:asciiTheme="minorHAnsi" w:hAnsiTheme="minorHAnsi"/>
          <w:szCs w:val="22"/>
          <w:lang w:eastAsia="es-AR"/>
        </w:rPr>
        <w:br/>
        <w:t xml:space="preserve"> 5º Concurso internacional de piano Euterpe (Italia, </w:t>
      </w:r>
      <w:proofErr w:type="spellStart"/>
      <w:r w:rsidRPr="00AC46AE">
        <w:rPr>
          <w:rFonts w:asciiTheme="minorHAnsi" w:hAnsiTheme="minorHAnsi"/>
          <w:szCs w:val="22"/>
          <w:lang w:eastAsia="es-AR"/>
        </w:rPr>
        <w:t>Corato</w:t>
      </w:r>
      <w:proofErr w:type="spellEnd"/>
      <w:r w:rsidRPr="00AC46AE">
        <w:rPr>
          <w:rFonts w:asciiTheme="minorHAnsi" w:hAnsiTheme="minorHAnsi"/>
          <w:szCs w:val="22"/>
          <w:lang w:eastAsia="es-AR"/>
        </w:rPr>
        <w:t>, 2011 – Segundo puesto)</w:t>
      </w:r>
    </w:p>
    <w:sectPr w:rsidR="00AC46AE" w:rsidRPr="003B57DE" w:rsidSect="003B57DE">
      <w:pgSz w:w="11906" w:h="16838"/>
      <w:pgMar w:top="0" w:right="1080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4"/>
    <w:rsid w:val="00057BB4"/>
    <w:rsid w:val="001F41D9"/>
    <w:rsid w:val="003462E5"/>
    <w:rsid w:val="003B57DE"/>
    <w:rsid w:val="00AC46AE"/>
    <w:rsid w:val="00CD1D30"/>
    <w:rsid w:val="00D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7BB4"/>
    <w:pPr>
      <w:spacing w:after="0"/>
    </w:pPr>
    <w:rPr>
      <w:rFonts w:ascii="Arial" w:eastAsia="Arial" w:hAnsi="Arial" w:cs="Arial"/>
      <w:lang w:val="ru-RU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BB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7BB4"/>
    <w:pPr>
      <w:spacing w:after="0"/>
    </w:pPr>
    <w:rPr>
      <w:rFonts w:ascii="Arial" w:eastAsia="Arial" w:hAnsi="Arial" w:cs="Arial"/>
      <w:lang w:val="ru-RU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BB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2019-10-25T23:50:00Z</dcterms:created>
  <dcterms:modified xsi:type="dcterms:W3CDTF">2019-10-26T01:56:00Z</dcterms:modified>
</cp:coreProperties>
</file>